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28665" w14:textId="267A4FEF" w:rsidR="00B26C59" w:rsidRDefault="00B26C59" w:rsidP="00B26C59">
      <w:pPr>
        <w:spacing w:after="0" w:line="276" w:lineRule="auto"/>
        <w:jc w:val="center"/>
        <w:outlineLvl w:val="1"/>
        <w:rPr>
          <w:rFonts w:ascii="Times New Roman" w:eastAsia="Times New Roman" w:hAnsi="Times New Roman" w:cs="Times New Roman"/>
          <w:b/>
          <w:bCs/>
          <w:color w:val="000000" w:themeColor="text1"/>
          <w:sz w:val="32"/>
          <w:szCs w:val="32"/>
          <w:lang w:val="en-US" w:eastAsia="en-PK"/>
        </w:rPr>
      </w:pPr>
      <w:r>
        <w:rPr>
          <w:rFonts w:ascii="Times New Roman" w:eastAsia="Times New Roman" w:hAnsi="Times New Roman" w:cs="Times New Roman"/>
          <w:b/>
          <w:bCs/>
          <w:color w:val="000000" w:themeColor="text1"/>
          <w:sz w:val="32"/>
          <w:szCs w:val="32"/>
          <w:lang w:val="en-US" w:eastAsia="en-PK"/>
        </w:rPr>
        <w:t>International Monetary System</w:t>
      </w:r>
    </w:p>
    <w:p w14:paraId="3D595A71" w14:textId="27EF79FE" w:rsidR="00B26C59" w:rsidRDefault="00B26C59" w:rsidP="00B26C59">
      <w:pPr>
        <w:spacing w:after="0" w:line="276" w:lineRule="auto"/>
        <w:jc w:val="center"/>
        <w:outlineLvl w:val="1"/>
        <w:rPr>
          <w:rFonts w:ascii="Times New Roman" w:eastAsia="Times New Roman" w:hAnsi="Times New Roman" w:cs="Times New Roman"/>
          <w:b/>
          <w:bCs/>
          <w:color w:val="000000" w:themeColor="text1"/>
          <w:sz w:val="32"/>
          <w:szCs w:val="32"/>
          <w:lang w:val="en-US" w:eastAsia="en-PK"/>
        </w:rPr>
      </w:pPr>
    </w:p>
    <w:p w14:paraId="2927D00E" w14:textId="39BF80E3" w:rsidR="00B26C59" w:rsidRDefault="00B26C59" w:rsidP="00B26C59">
      <w:pPr>
        <w:spacing w:after="0" w:line="276" w:lineRule="auto"/>
        <w:outlineLvl w:val="1"/>
        <w:rPr>
          <w:rFonts w:ascii="Times New Roman" w:eastAsia="Times New Roman" w:hAnsi="Times New Roman" w:cs="Times New Roman"/>
          <w:b/>
          <w:bCs/>
          <w:color w:val="000000" w:themeColor="text1"/>
          <w:sz w:val="28"/>
          <w:szCs w:val="28"/>
          <w:lang w:val="en-US" w:eastAsia="en-PK"/>
        </w:rPr>
      </w:pPr>
      <w:r>
        <w:rPr>
          <w:rFonts w:ascii="Times New Roman" w:eastAsia="Times New Roman" w:hAnsi="Times New Roman" w:cs="Times New Roman"/>
          <w:b/>
          <w:bCs/>
          <w:color w:val="000000" w:themeColor="text1"/>
          <w:sz w:val="28"/>
          <w:szCs w:val="28"/>
          <w:lang w:val="en-US" w:eastAsia="en-PK"/>
        </w:rPr>
        <w:t>History:</w:t>
      </w:r>
    </w:p>
    <w:p w14:paraId="02C06234" w14:textId="77777777" w:rsidR="00B26C59" w:rsidRPr="00B26C59" w:rsidRDefault="00B26C59" w:rsidP="00B26C59">
      <w:pPr>
        <w:spacing w:after="0" w:line="276" w:lineRule="auto"/>
        <w:outlineLvl w:val="1"/>
        <w:rPr>
          <w:rFonts w:ascii="Times New Roman" w:eastAsia="Times New Roman" w:hAnsi="Times New Roman" w:cs="Times New Roman"/>
          <w:b/>
          <w:bCs/>
          <w:color w:val="000000" w:themeColor="text1"/>
          <w:sz w:val="28"/>
          <w:szCs w:val="28"/>
          <w:lang w:val="en-US" w:eastAsia="en-PK"/>
        </w:rPr>
      </w:pPr>
      <w:bookmarkStart w:id="0" w:name="_GoBack"/>
      <w:bookmarkEnd w:id="0"/>
    </w:p>
    <w:p w14:paraId="2ED5F7ED" w14:textId="5C416DEA" w:rsidR="00B26C59" w:rsidRPr="00B26C59" w:rsidRDefault="00B26C59" w:rsidP="00B26C59">
      <w:pPr>
        <w:spacing w:after="0" w:line="276" w:lineRule="auto"/>
        <w:jc w:val="both"/>
        <w:outlineLvl w:val="1"/>
        <w:rPr>
          <w:rFonts w:ascii="Times New Roman" w:eastAsia="Times New Roman" w:hAnsi="Times New Roman" w:cs="Times New Roman"/>
          <w:b/>
          <w:bCs/>
          <w:color w:val="000000" w:themeColor="text1"/>
          <w:sz w:val="24"/>
          <w:szCs w:val="24"/>
          <w:lang w:val="en-PK" w:eastAsia="en-PK"/>
        </w:rPr>
      </w:pPr>
      <w:r w:rsidRPr="00B26C59">
        <w:rPr>
          <w:rFonts w:ascii="Times New Roman" w:eastAsia="Times New Roman" w:hAnsi="Times New Roman" w:cs="Times New Roman"/>
          <w:b/>
          <w:bCs/>
          <w:color w:val="000000" w:themeColor="text1"/>
          <w:sz w:val="24"/>
          <w:szCs w:val="24"/>
          <w:lang w:val="en-PK" w:eastAsia="en-PK"/>
        </w:rPr>
        <w:t>Pre–World War I</w:t>
      </w:r>
    </w:p>
    <w:p w14:paraId="61951257"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As mentioned earlier in this section, ancient societies started using gold as a means of economic exchange. Gradually more countries adopted gold, usually in the form of coins or bullion, and this international monetary system became known as the gold standard. This system emerged gradually, without the structural process in more recent systems. The gold standard, in essence, created a fixed exchange rate system. An exchange rate is the price of one currency in terms of a second currency. In the gold standard system, each country sets the price of its currency to gold, specifically to one ounce of gold. A fixed exchange rate stabilizes the value of one currency vis-à-vis another and makes trade and investment easier.</w:t>
      </w:r>
    </w:p>
    <w:p w14:paraId="2EED8C3E"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Our modern monetary system has its roots in the early 1800s. The defeat of Napoleon in 1815, when France was beaten at the Battle of Waterloo, made Britain the strongest nation in the world, a position it held for about one hundred years. In Africa, British rule extended at one time from the Cape of Good Hope to Cairo. British dominance and influence also stretched to the Indian subcontinent, the Malaysian peninsula, Australia, New Zealand—which attracted British settlers—and Canada. Under the banner of the British government, British companies advanced globally and were the largest companies in many of the colonies, controlling trade and commerce. Throughout history, strong countries, as measured mainly in terms of military might, were able to advance the interests of companies from their countries—a fact that has continued to modern times, as seen in the global prowess of American companies. Global firms in turn have always paid close attention to the political, military, and economic policies of their and other governments.</w:t>
      </w:r>
    </w:p>
    <w:p w14:paraId="6A29EAEE"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In 1821, the United Kingdom, the predominant global economy through the reaches of its colonial empire, adopted the gold standard and committed to fixing the value of the British pound. The major trading countries, including Russia, Austria-Hungary, Germany, France, and the United States, also followed and fixed the price of their currencies to an ounce of gold.</w:t>
      </w:r>
    </w:p>
    <w:p w14:paraId="6526A671"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The United Kingdom officially set the price of its currency by agreeing to buy or sell an ounce of gold for the price of 4.247 pounds sterling. At that time, the United States agreed to buy or sell an ounce of gold for $20.67. This enabled the two currencies to be freely exchanged in terms of an ounce of gold. In essence,</w:t>
      </w:r>
    </w:p>
    <w:p w14:paraId="16CC322B" w14:textId="77777777" w:rsidR="00B26C59" w:rsidRPr="00B26C59" w:rsidRDefault="00B26C59" w:rsidP="00B26C59">
      <w:pPr>
        <w:spacing w:after="0"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£4.247 = 1 ounce of gold = $20.67.</w:t>
      </w:r>
    </w:p>
    <w:p w14:paraId="32AD4B6D"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The exchange rate between the US dollar and the British pound was then calculated by</w:t>
      </w:r>
    </w:p>
    <w:p w14:paraId="3D336A17" w14:textId="77777777" w:rsidR="00B26C59" w:rsidRPr="00B26C59" w:rsidRDefault="00B26C59" w:rsidP="00B26C59">
      <w:pPr>
        <w:spacing w:after="0"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$20.67/£4.247 = $4.867 to £1.</w:t>
      </w:r>
    </w:p>
    <w:p w14:paraId="7879D7DB" w14:textId="77777777" w:rsidR="00B26C59" w:rsidRPr="00B26C59" w:rsidRDefault="00B26C59" w:rsidP="00B26C59">
      <w:pPr>
        <w:spacing w:after="0" w:line="276" w:lineRule="auto"/>
        <w:jc w:val="both"/>
        <w:outlineLvl w:val="1"/>
        <w:rPr>
          <w:rFonts w:ascii="Times New Roman" w:eastAsia="Times New Roman" w:hAnsi="Times New Roman" w:cs="Times New Roman"/>
          <w:b/>
          <w:bCs/>
          <w:color w:val="000000" w:themeColor="text1"/>
          <w:sz w:val="24"/>
          <w:szCs w:val="24"/>
          <w:lang w:val="en-PK" w:eastAsia="en-PK"/>
        </w:rPr>
      </w:pPr>
      <w:r w:rsidRPr="00B26C59">
        <w:rPr>
          <w:rFonts w:ascii="Times New Roman" w:eastAsia="Times New Roman" w:hAnsi="Times New Roman" w:cs="Times New Roman"/>
          <w:b/>
          <w:bCs/>
          <w:color w:val="000000" w:themeColor="text1"/>
          <w:sz w:val="24"/>
          <w:szCs w:val="24"/>
          <w:lang w:val="en-PK" w:eastAsia="en-PK"/>
        </w:rPr>
        <w:lastRenderedPageBreak/>
        <w:t>The Advantages of the Gold Standard</w:t>
      </w:r>
    </w:p>
    <w:p w14:paraId="755AF526"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The gold standard dramatically reduced the risk in exchange rates because it established fixed exchange rates between currencies. Any fluctuations were relatively small. This made it easier for global companies to manage costs and pricing. International trade grew throughout the world, although economists are not always in agreement as to whether the gold standard was an essential part of that trend.</w:t>
      </w:r>
    </w:p>
    <w:p w14:paraId="3D7BB81A"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The second advantage is that countries were forced to observe strict monetary policies. They could not just print money to combat economic downturns. One of the key features of the gold standard was that a currency had to actually have in reserve enough gold to convert all of its currency being held by anyone into gold. Therefore, the volume of paper currency could not exceed the gold reserves.</w:t>
      </w:r>
    </w:p>
    <w:p w14:paraId="4E529CAE"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The third major advantage was that gold standard would help a country correct its trade imbalance. For example, if a country was importing more than it is exporting, (called a trade deficit), then under the gold standard the country had to pay for the imports with gold. The government of the country would have to reduce the amount of paper currency, because there could not be more currency in circulation than its gold reserves. With less money floating around, people would have less money to spend (thus causing a decrease in demand) and prices would also eventually decrease. As a result, with cheaper goods and services to offer, companies from the country could export more, changing the international trade balance gradually back to being in balance. For these three primary reasons, and as a result of the 2008 global financial crises, some modern economists are calling for the return of the gold standard or a similar system.</w:t>
      </w:r>
    </w:p>
    <w:p w14:paraId="525193E1" w14:textId="77777777" w:rsidR="00B26C59" w:rsidRPr="00B26C59" w:rsidRDefault="00B26C59" w:rsidP="00B26C59">
      <w:pPr>
        <w:spacing w:after="0" w:line="276" w:lineRule="auto"/>
        <w:jc w:val="both"/>
        <w:outlineLvl w:val="1"/>
        <w:rPr>
          <w:rFonts w:ascii="Times New Roman" w:eastAsia="Times New Roman" w:hAnsi="Times New Roman" w:cs="Times New Roman"/>
          <w:b/>
          <w:bCs/>
          <w:color w:val="000000" w:themeColor="text1"/>
          <w:sz w:val="24"/>
          <w:szCs w:val="24"/>
          <w:lang w:val="en-PK" w:eastAsia="en-PK"/>
        </w:rPr>
      </w:pPr>
      <w:r w:rsidRPr="00B26C59">
        <w:rPr>
          <w:rFonts w:ascii="Times New Roman" w:eastAsia="Times New Roman" w:hAnsi="Times New Roman" w:cs="Times New Roman"/>
          <w:b/>
          <w:bCs/>
          <w:color w:val="000000" w:themeColor="text1"/>
          <w:sz w:val="24"/>
          <w:szCs w:val="24"/>
          <w:lang w:val="en-PK" w:eastAsia="en-PK"/>
        </w:rPr>
        <w:t>Collapse of the Gold Standard</w:t>
      </w:r>
    </w:p>
    <w:p w14:paraId="1EA30252"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i/>
          <w:iCs/>
          <w:color w:val="000000" w:themeColor="text1"/>
          <w:sz w:val="24"/>
          <w:szCs w:val="24"/>
          <w:lang w:val="en-PK" w:eastAsia="en-PK"/>
        </w:rPr>
        <w:t>If it was so good, what happened?</w:t>
      </w:r>
      <w:r w:rsidRPr="00B26C59">
        <w:rPr>
          <w:rFonts w:ascii="Times New Roman" w:eastAsia="Times New Roman" w:hAnsi="Times New Roman" w:cs="Times New Roman"/>
          <w:color w:val="000000" w:themeColor="text1"/>
          <w:sz w:val="24"/>
          <w:szCs w:val="24"/>
          <w:lang w:val="en-PK" w:eastAsia="en-PK"/>
        </w:rPr>
        <w:t> The gold standard eventually collapsed from the impact of World War I. During the war, nations on both sides had to finance their huge military expenses and did so by printing more paper currency. As the currency in circulation exceeded each country’s gold reserves, many countries were forced to abandon the gold standard. In the 1920s, most countries, including the United Kingdom, the United States, Russia, and France, returned to the gold standard at the same price level, despite the political instability, high unemployment, and inflation that were spread throughout Europe.</w:t>
      </w:r>
    </w:p>
    <w:p w14:paraId="6E9CC69F"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 xml:space="preserve">However, the revival of the gold standard was short-lived due to the Great Depression, which began in the late 1920s. The Great Depression was a worldwide phenomenon. By 1928, Germany, Brazil, and the economies of Southeast Asia were depressed. By early 1929, the economies of Poland, Argentina, and Canada were contracting, and the United States economy followed in the middle of 1929. Some economists have suggested that the larger factor tying these countries together was the international gold standard, which they believe prolonged the Great </w:t>
      </w:r>
      <w:proofErr w:type="spellStart"/>
      <w:r w:rsidRPr="00B26C59">
        <w:rPr>
          <w:rFonts w:ascii="Times New Roman" w:eastAsia="Times New Roman" w:hAnsi="Times New Roman" w:cs="Times New Roman"/>
          <w:color w:val="000000" w:themeColor="text1"/>
          <w:sz w:val="24"/>
          <w:szCs w:val="24"/>
          <w:lang w:val="en-PK" w:eastAsia="en-PK"/>
        </w:rPr>
        <w:t>Depression.</w:t>
      </w:r>
      <w:r w:rsidRPr="00B26C59">
        <w:rPr>
          <w:rFonts w:ascii="Times New Roman" w:eastAsia="Times New Roman" w:hAnsi="Times New Roman" w:cs="Times New Roman"/>
          <w:i/>
          <w:iCs/>
          <w:color w:val="000000" w:themeColor="text1"/>
          <w:sz w:val="24"/>
          <w:szCs w:val="24"/>
          <w:lang w:val="en-PK" w:eastAsia="en-PK"/>
        </w:rPr>
        <w:t>The</w:t>
      </w:r>
      <w:proofErr w:type="spellEnd"/>
      <w:r w:rsidRPr="00B26C59">
        <w:rPr>
          <w:rFonts w:ascii="Times New Roman" w:eastAsia="Times New Roman" w:hAnsi="Times New Roman" w:cs="Times New Roman"/>
          <w:i/>
          <w:iCs/>
          <w:color w:val="000000" w:themeColor="text1"/>
          <w:sz w:val="24"/>
          <w:szCs w:val="24"/>
          <w:lang w:val="en-PK" w:eastAsia="en-PK"/>
        </w:rPr>
        <w:t xml:space="preserve"> Concise Encyclopedia of Economics</w:t>
      </w:r>
      <w:r w:rsidRPr="00B26C59">
        <w:rPr>
          <w:rFonts w:ascii="Times New Roman" w:eastAsia="Times New Roman" w:hAnsi="Times New Roman" w:cs="Times New Roman"/>
          <w:color w:val="000000" w:themeColor="text1"/>
          <w:sz w:val="24"/>
          <w:szCs w:val="24"/>
          <w:lang w:val="en-PK" w:eastAsia="en-PK"/>
        </w:rPr>
        <w:t xml:space="preserve">, </w:t>
      </w:r>
      <w:proofErr w:type="spellStart"/>
      <w:r w:rsidRPr="00B26C59">
        <w:rPr>
          <w:rFonts w:ascii="Times New Roman" w:eastAsia="Times New Roman" w:hAnsi="Times New Roman" w:cs="Times New Roman"/>
          <w:color w:val="000000" w:themeColor="text1"/>
          <w:sz w:val="24"/>
          <w:szCs w:val="24"/>
          <w:lang w:val="en-PK" w:eastAsia="en-PK"/>
        </w:rPr>
        <w:t>s.v.</w:t>
      </w:r>
      <w:proofErr w:type="spellEnd"/>
      <w:r w:rsidRPr="00B26C59">
        <w:rPr>
          <w:rFonts w:ascii="Times New Roman" w:eastAsia="Times New Roman" w:hAnsi="Times New Roman" w:cs="Times New Roman"/>
          <w:color w:val="000000" w:themeColor="text1"/>
          <w:sz w:val="24"/>
          <w:szCs w:val="24"/>
          <w:lang w:val="en-PK" w:eastAsia="en-PK"/>
        </w:rPr>
        <w:t xml:space="preserve"> “Great Depression,” accessed July 23, 2010, </w:t>
      </w:r>
      <w:hyperlink r:id="rId4" w:tgtFrame="_blank" w:history="1">
        <w:r w:rsidRPr="00B26C59">
          <w:rPr>
            <w:rFonts w:ascii="Times New Roman" w:eastAsia="Times New Roman" w:hAnsi="Times New Roman" w:cs="Times New Roman"/>
            <w:color w:val="000000" w:themeColor="text1"/>
            <w:sz w:val="24"/>
            <w:szCs w:val="24"/>
            <w:u w:val="single"/>
            <w:lang w:val="en-PK" w:eastAsia="en-PK"/>
          </w:rPr>
          <w:t>http://www.econlib.org/library/Enc/GreatDepression.html</w:t>
        </w:r>
      </w:hyperlink>
      <w:r w:rsidRPr="00B26C59">
        <w:rPr>
          <w:rFonts w:ascii="Times New Roman" w:eastAsia="Times New Roman" w:hAnsi="Times New Roman" w:cs="Times New Roman"/>
          <w:color w:val="000000" w:themeColor="text1"/>
          <w:sz w:val="24"/>
          <w:szCs w:val="24"/>
          <w:lang w:val="en-PK" w:eastAsia="en-PK"/>
        </w:rPr>
        <w:t xml:space="preserve">. The gold standard </w:t>
      </w:r>
      <w:r w:rsidRPr="00B26C59">
        <w:rPr>
          <w:rFonts w:ascii="Times New Roman" w:eastAsia="Times New Roman" w:hAnsi="Times New Roman" w:cs="Times New Roman"/>
          <w:color w:val="000000" w:themeColor="text1"/>
          <w:sz w:val="24"/>
          <w:szCs w:val="24"/>
          <w:lang w:val="en-PK" w:eastAsia="en-PK"/>
        </w:rPr>
        <w:lastRenderedPageBreak/>
        <w:t>limited the flexibility of the monetary policy of each country’s central banks by limiting their ability to expand the money supply. Under the gold standard, countries could not expand their money supply beyond what was allowed by the gold reserves held in their vaults.</w:t>
      </w:r>
    </w:p>
    <w:p w14:paraId="0F7CC2DE"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Too much money had been created during World War I to allow a return to the gold standard without either large currency devaluations or price deflations. In addition, the US gold stock had doubled to about 40 percent of the world’s monetary gold. There simply was not enough monetary gold in the rest of the world to support the countries’ currencies at the existing exchange rates.</w:t>
      </w:r>
    </w:p>
    <w:p w14:paraId="404C70ED"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 xml:space="preserve">By 1931, the United Kingdom had to officially abandon its commitment to maintain the value of the British pound. The currency was allowed to float, which meant that its value would increase or decrease based on demand and supply. The US dollar and the French franc were the next strongest currencies and nations sought to peg the value of their currencies to either the dollar or franc. However, in 1934, the United States devalued its currency from $20.67 per ounce of gold to $35 per ounce. With a cheaper US dollar, US firms were able to export more as the price of their goods and services were cheaper vis-à-vis other nations. Other countries devalued their currencies in retaliation of the lower US dollar. Many of these countries used arbitrary par values rather than a price relative to their gold reserves. Each country hoped to make its exports cheaper to other countries and reduce expensive imports. However, with so many countries simultaneously devaluing their currencies, the impact on prices was </w:t>
      </w:r>
      <w:proofErr w:type="spellStart"/>
      <w:r w:rsidRPr="00B26C59">
        <w:rPr>
          <w:rFonts w:ascii="Times New Roman" w:eastAsia="Times New Roman" w:hAnsi="Times New Roman" w:cs="Times New Roman"/>
          <w:color w:val="000000" w:themeColor="text1"/>
          <w:sz w:val="24"/>
          <w:szCs w:val="24"/>
          <w:lang w:val="en-PK" w:eastAsia="en-PK"/>
        </w:rPr>
        <w:t>canceled</w:t>
      </w:r>
      <w:proofErr w:type="spellEnd"/>
      <w:r w:rsidRPr="00B26C59">
        <w:rPr>
          <w:rFonts w:ascii="Times New Roman" w:eastAsia="Times New Roman" w:hAnsi="Times New Roman" w:cs="Times New Roman"/>
          <w:color w:val="000000" w:themeColor="text1"/>
          <w:sz w:val="24"/>
          <w:szCs w:val="24"/>
          <w:lang w:val="en-PK" w:eastAsia="en-PK"/>
        </w:rPr>
        <w:t xml:space="preserve"> out. Many countries also imposed tariffs and other trade restrictions in an effort to protect domestic industries and jobs. By 1939, the gold standard was dead; it was no longer an accurate indicator of a currency’s real value.</w:t>
      </w:r>
    </w:p>
    <w:p w14:paraId="4F95095E" w14:textId="77777777" w:rsidR="00B26C59" w:rsidRPr="00B26C59" w:rsidRDefault="00B26C59" w:rsidP="00B26C59">
      <w:pPr>
        <w:spacing w:after="0" w:line="276" w:lineRule="auto"/>
        <w:jc w:val="both"/>
        <w:outlineLvl w:val="1"/>
        <w:rPr>
          <w:rFonts w:ascii="Times New Roman" w:eastAsia="Times New Roman" w:hAnsi="Times New Roman" w:cs="Times New Roman"/>
          <w:b/>
          <w:bCs/>
          <w:color w:val="000000" w:themeColor="text1"/>
          <w:sz w:val="24"/>
          <w:szCs w:val="24"/>
          <w:lang w:val="en-PK" w:eastAsia="en-PK"/>
        </w:rPr>
      </w:pPr>
      <w:r w:rsidRPr="00B26C59">
        <w:rPr>
          <w:rFonts w:ascii="Times New Roman" w:eastAsia="Times New Roman" w:hAnsi="Times New Roman" w:cs="Times New Roman"/>
          <w:b/>
          <w:bCs/>
          <w:color w:val="000000" w:themeColor="text1"/>
          <w:sz w:val="24"/>
          <w:szCs w:val="24"/>
          <w:lang w:val="en-PK" w:eastAsia="en-PK"/>
        </w:rPr>
        <w:t>Post–World War II</w:t>
      </w:r>
    </w:p>
    <w:p w14:paraId="239529C0" w14:textId="77777777" w:rsidR="00B26C59" w:rsidRPr="00B26C59" w:rsidRDefault="00B26C59" w:rsidP="00B26C59">
      <w:pPr>
        <w:spacing w:before="100" w:beforeAutospacing="1" w:after="100" w:afterAutospacing="1" w:line="276" w:lineRule="auto"/>
        <w:jc w:val="both"/>
        <w:rPr>
          <w:rFonts w:ascii="Times New Roman" w:eastAsia="Times New Roman" w:hAnsi="Times New Roman" w:cs="Times New Roman"/>
          <w:color w:val="000000" w:themeColor="text1"/>
          <w:sz w:val="24"/>
          <w:szCs w:val="24"/>
          <w:lang w:val="en-PK" w:eastAsia="en-PK"/>
        </w:rPr>
      </w:pPr>
      <w:r w:rsidRPr="00B26C59">
        <w:rPr>
          <w:rFonts w:ascii="Times New Roman" w:eastAsia="Times New Roman" w:hAnsi="Times New Roman" w:cs="Times New Roman"/>
          <w:color w:val="000000" w:themeColor="text1"/>
          <w:sz w:val="24"/>
          <w:szCs w:val="24"/>
          <w:lang w:val="en-PK" w:eastAsia="en-PK"/>
        </w:rPr>
        <w:t xml:space="preserve">The demise of the gold standard and the rise of the Bretton Woods system pegged to the US dollar was also a changing reflection of global history and politics. The British Empire’s influence was dwindling. In the early 1800s, with the strength of both their currency and trading might, the United Kingdom had expanded its empire. At the end of World War I, the British Empire spanned more than a quarter of the world; the general sentiment was that “the sun would never set on the British empire.” British maps and globes of the time showed the empire’s expanse proudly painted in red. However, shortly after World War II, many of the colonies fought for and achieved independence. By then, the United States had clearly replaced the United Kingdom as the dominant global economic </w:t>
      </w:r>
      <w:proofErr w:type="spellStart"/>
      <w:r w:rsidRPr="00B26C59">
        <w:rPr>
          <w:rFonts w:ascii="Times New Roman" w:eastAsia="Times New Roman" w:hAnsi="Times New Roman" w:cs="Times New Roman"/>
          <w:color w:val="000000" w:themeColor="text1"/>
          <w:sz w:val="24"/>
          <w:szCs w:val="24"/>
          <w:lang w:val="en-PK" w:eastAsia="en-PK"/>
        </w:rPr>
        <w:t>center</w:t>
      </w:r>
      <w:proofErr w:type="spellEnd"/>
      <w:r w:rsidRPr="00B26C59">
        <w:rPr>
          <w:rFonts w:ascii="Times New Roman" w:eastAsia="Times New Roman" w:hAnsi="Times New Roman" w:cs="Times New Roman"/>
          <w:color w:val="000000" w:themeColor="text1"/>
          <w:sz w:val="24"/>
          <w:szCs w:val="24"/>
          <w:lang w:val="en-PK" w:eastAsia="en-PK"/>
        </w:rPr>
        <w:t xml:space="preserve"> and as the political and military superpower as well.</w:t>
      </w:r>
    </w:p>
    <w:p w14:paraId="7448E737" w14:textId="77777777" w:rsidR="00B26C59" w:rsidRPr="00B26C59" w:rsidRDefault="00B26C59" w:rsidP="00B26C59">
      <w:pPr>
        <w:pStyle w:val="Heading2"/>
        <w:spacing w:before="0" w:beforeAutospacing="0" w:after="0" w:afterAutospacing="0" w:line="276" w:lineRule="auto"/>
        <w:jc w:val="both"/>
        <w:rPr>
          <w:color w:val="000000" w:themeColor="text1"/>
          <w:sz w:val="24"/>
          <w:szCs w:val="24"/>
        </w:rPr>
      </w:pPr>
      <w:r w:rsidRPr="00B26C59">
        <w:rPr>
          <w:color w:val="000000" w:themeColor="text1"/>
          <w:sz w:val="24"/>
          <w:szCs w:val="24"/>
        </w:rPr>
        <w:t>Fixed Exchange Rates</w:t>
      </w:r>
    </w:p>
    <w:p w14:paraId="2BDB14F4" w14:textId="77777777" w:rsidR="00B26C59" w:rsidRPr="00B26C59" w:rsidRDefault="00B26C59" w:rsidP="00B26C59">
      <w:pPr>
        <w:pStyle w:val="para"/>
        <w:spacing w:line="276" w:lineRule="auto"/>
        <w:jc w:val="both"/>
        <w:rPr>
          <w:color w:val="000000" w:themeColor="text1"/>
        </w:rPr>
      </w:pPr>
      <w:r w:rsidRPr="00B26C59">
        <w:rPr>
          <w:color w:val="000000" w:themeColor="text1"/>
        </w:rPr>
        <w:t xml:space="preserve">Fixed exchange rates are also sometimes called pegged rates. One of the critical factors that led to the fall of the gold standard was that after the United Kingdom abandoned its commitment to maintaining the value of the British pound, countries sought to peg their currencies to the US dollar. With the strength of the US economy, the gold supply in the United </w:t>
      </w:r>
      <w:r w:rsidRPr="00B26C59">
        <w:rPr>
          <w:color w:val="000000" w:themeColor="text1"/>
        </w:rPr>
        <w:lastRenderedPageBreak/>
        <w:t>States increased, while many countries had less gold in reserve than they did currency in circulation. The Bretton Woods system worked to fix this by tying the value of the US dollar to gold but also by tying all of the other countries to the US dollar rather than directly to gold. The par value of the US dollar was fixed at $35 to one ounce of gold. All other countries then set the value of their currencies to the US dollar. In reflection of the changing times, the British pound had undergone a substantial loss in value and by that point, its value was $2.40 to £1. Member countries had to maintain the value of their currencies within 1 percent of the fixed exchange rate. Lastly, the agreement established that only governments, rather than anyone who demanded it, could convert their US dollar holdings into gold—a major improvement over the gold standard. In fact, most businesspeople eventually ignored the technicality of pegging the US dollar to gold and simply utilized the actual exchange rates between countries (e.g., the pound to the dollar) as an economic measure for doing business.</w:t>
      </w:r>
    </w:p>
    <w:p w14:paraId="0EBFA4BE" w14:textId="77777777" w:rsidR="00B26C59" w:rsidRPr="00B26C59" w:rsidRDefault="00B26C59" w:rsidP="00B26C59">
      <w:pPr>
        <w:pStyle w:val="Heading2"/>
        <w:spacing w:before="0" w:beforeAutospacing="0" w:after="0" w:afterAutospacing="0" w:line="276" w:lineRule="auto"/>
        <w:jc w:val="both"/>
        <w:rPr>
          <w:color w:val="000000" w:themeColor="text1"/>
          <w:sz w:val="24"/>
          <w:szCs w:val="24"/>
        </w:rPr>
      </w:pPr>
      <w:r w:rsidRPr="00B26C59">
        <w:rPr>
          <w:color w:val="000000" w:themeColor="text1"/>
          <w:sz w:val="24"/>
          <w:szCs w:val="24"/>
        </w:rPr>
        <w:t>National Flexibility</w:t>
      </w:r>
    </w:p>
    <w:p w14:paraId="691FC72A" w14:textId="77777777" w:rsidR="00B26C59" w:rsidRPr="00B26C59" w:rsidRDefault="00B26C59" w:rsidP="00B26C59">
      <w:pPr>
        <w:pStyle w:val="para"/>
        <w:spacing w:line="276" w:lineRule="auto"/>
        <w:jc w:val="both"/>
        <w:rPr>
          <w:color w:val="000000" w:themeColor="text1"/>
        </w:rPr>
      </w:pPr>
      <w:r w:rsidRPr="00B26C59">
        <w:rPr>
          <w:color w:val="000000" w:themeColor="text1"/>
        </w:rPr>
        <w:t>To enable countries to manage temporary but serious downturns, the Bretton Woods Agreement provided for a devaluation of a currency—more than 10 percent if needed. Countries could not use this tool to competitively manipulate imports and exports. Rather, the tool was intended to prevent the large-scale economic downturn that took place in the 1930s.</w:t>
      </w:r>
    </w:p>
    <w:p w14:paraId="032894AA" w14:textId="77777777" w:rsidR="00B26C59" w:rsidRPr="00B26C59" w:rsidRDefault="00B26C59" w:rsidP="00B26C59">
      <w:pPr>
        <w:pStyle w:val="Heading2"/>
        <w:spacing w:before="0" w:beforeAutospacing="0" w:after="0" w:afterAutospacing="0" w:line="276" w:lineRule="auto"/>
        <w:jc w:val="both"/>
        <w:rPr>
          <w:color w:val="000000" w:themeColor="text1"/>
          <w:sz w:val="24"/>
          <w:szCs w:val="24"/>
        </w:rPr>
      </w:pPr>
      <w:r w:rsidRPr="00B26C59">
        <w:rPr>
          <w:color w:val="000000" w:themeColor="text1"/>
          <w:sz w:val="24"/>
          <w:szCs w:val="24"/>
        </w:rPr>
        <w:t>Creation of the International Monetary Fund and the World Bank</w:t>
      </w:r>
    </w:p>
    <w:p w14:paraId="46DC01A5" w14:textId="77777777" w:rsidR="00B26C59" w:rsidRPr="00B26C59" w:rsidRDefault="00B26C59" w:rsidP="00B26C59">
      <w:pPr>
        <w:pStyle w:val="para"/>
        <w:spacing w:line="276" w:lineRule="auto"/>
        <w:jc w:val="both"/>
        <w:rPr>
          <w:color w:val="000000" w:themeColor="text1"/>
        </w:rPr>
      </w:pPr>
      <w:hyperlink r:id="rId5" w:anchor="fwk-168388-ch07_s02" w:history="1">
        <w:r w:rsidRPr="00B26C59">
          <w:rPr>
            <w:rStyle w:val="Hyperlink"/>
            <w:color w:val="000000" w:themeColor="text1"/>
          </w:rPr>
          <w:t>Section 6.2 "What Is the Role of the IMF and the World Bank?"</w:t>
        </w:r>
      </w:hyperlink>
      <w:r w:rsidRPr="00B26C59">
        <w:rPr>
          <w:color w:val="000000" w:themeColor="text1"/>
        </w:rPr>
        <w:t> looks at the International Monetary Fund and the World Bank more closely, as they have survived the collapse of the Bretton Woods Agreement. In essence, the IMF’s initial primary purpose was to help manage the fixed rate exchange system; it eventually evolved to help governments correct temporary trade imbalances (typically deficits) with loans. The World Bank’s purpose was to help with post–World War II European reconstruction. Both institutions continue to serve these roles but have evolved into broader institutions that serve essential global purposes, even though the system that created them is long gone. </w:t>
      </w:r>
      <w:hyperlink r:id="rId6" w:anchor="fwk-168388-ch07_s02" w:history="1">
        <w:r w:rsidRPr="00B26C59">
          <w:rPr>
            <w:rStyle w:val="Hyperlink"/>
            <w:color w:val="000000" w:themeColor="text1"/>
          </w:rPr>
          <w:t>Section 6.2 "What Is the Role of the IMF and the World Bank?"</w:t>
        </w:r>
      </w:hyperlink>
      <w:r w:rsidRPr="00B26C59">
        <w:rPr>
          <w:color w:val="000000" w:themeColor="text1"/>
        </w:rPr>
        <w:t> explores them in greater detail and addresses the history, purpose, evolution, and current opportunities and challenges of both institutions.</w:t>
      </w:r>
    </w:p>
    <w:p w14:paraId="451394CA" w14:textId="77777777" w:rsidR="00B26C59" w:rsidRPr="00B26C59" w:rsidRDefault="00B26C59" w:rsidP="00B26C59">
      <w:pPr>
        <w:pStyle w:val="Heading2"/>
        <w:spacing w:before="0" w:beforeAutospacing="0" w:after="0" w:afterAutospacing="0" w:line="276" w:lineRule="auto"/>
        <w:jc w:val="both"/>
        <w:rPr>
          <w:color w:val="000000" w:themeColor="text1"/>
          <w:sz w:val="24"/>
          <w:szCs w:val="24"/>
        </w:rPr>
      </w:pPr>
      <w:r w:rsidRPr="00B26C59">
        <w:rPr>
          <w:color w:val="000000" w:themeColor="text1"/>
          <w:sz w:val="24"/>
          <w:szCs w:val="24"/>
        </w:rPr>
        <w:t>Today’s Exchange Rate System</w:t>
      </w:r>
    </w:p>
    <w:p w14:paraId="1B3FD7C3" w14:textId="77777777" w:rsidR="00B26C59" w:rsidRPr="00B26C59" w:rsidRDefault="00B26C59" w:rsidP="00B26C59">
      <w:pPr>
        <w:pStyle w:val="para"/>
        <w:spacing w:line="276" w:lineRule="auto"/>
        <w:jc w:val="both"/>
        <w:rPr>
          <w:color w:val="000000" w:themeColor="text1"/>
        </w:rPr>
      </w:pPr>
      <w:r w:rsidRPr="00B26C59">
        <w:rPr>
          <w:color w:val="000000" w:themeColor="text1"/>
        </w:rPr>
        <w:t>While there is not an official replacement to the Bretton Woods system, there are provisions in place through the ongoing forum discussions of the G20. Today’s system remains—in large part—a managed float system, with the US dollar and the euro jostling to be the premier global currency. For businesses that once quoted primarily in US dollars, pricing is now just as often noted in the euro as well.</w:t>
      </w:r>
    </w:p>
    <w:p w14:paraId="63B14D41" w14:textId="26E4B142" w:rsidR="00F41F95" w:rsidRPr="00B26C59" w:rsidRDefault="00B26C59" w:rsidP="00B26C59">
      <w:pPr>
        <w:spacing w:line="276" w:lineRule="auto"/>
        <w:jc w:val="both"/>
        <w:rPr>
          <w:rFonts w:ascii="Times New Roman" w:hAnsi="Times New Roman" w:cs="Times New Roman"/>
          <w:color w:val="000000" w:themeColor="text1"/>
          <w:sz w:val="24"/>
          <w:szCs w:val="24"/>
        </w:rPr>
      </w:pPr>
      <w:r w:rsidRPr="00B26C59">
        <w:rPr>
          <w:rFonts w:ascii="Times New Roman" w:hAnsi="Times New Roman" w:cs="Times New Roman"/>
          <w:color w:val="000000" w:themeColor="text1"/>
          <w:sz w:val="24"/>
          <w:szCs w:val="24"/>
        </w:rPr>
        <w:t xml:space="preserve">Some smaller nations have chosen to voluntarily set exchange rates against the dollar while other countries have selected the euro. Usually a country makes the decision between the dollar and the euro by reviewing their largest trading partners. By choosing the euro or the dollar, </w:t>
      </w:r>
      <w:r w:rsidRPr="00B26C59">
        <w:rPr>
          <w:rFonts w:ascii="Times New Roman" w:hAnsi="Times New Roman" w:cs="Times New Roman"/>
          <w:color w:val="000000" w:themeColor="text1"/>
          <w:sz w:val="24"/>
          <w:szCs w:val="24"/>
        </w:rPr>
        <w:lastRenderedPageBreak/>
        <w:t xml:space="preserve">countries seek currency stability and a reduction in inflation, among other various perceived benefits. Many countries in Latin America once dollarized to provide currency stability for their economy. Today, this is changing, as individual economies have strengthened and countries are now seeking to </w:t>
      </w:r>
      <w:proofErr w:type="spellStart"/>
      <w:r w:rsidRPr="00B26C59">
        <w:rPr>
          <w:rFonts w:ascii="Times New Roman" w:hAnsi="Times New Roman" w:cs="Times New Roman"/>
          <w:color w:val="000000" w:themeColor="text1"/>
          <w:sz w:val="24"/>
          <w:szCs w:val="24"/>
        </w:rPr>
        <w:t>dedollarize</w:t>
      </w:r>
      <w:proofErr w:type="spellEnd"/>
      <w:r w:rsidRPr="00B26C59">
        <w:rPr>
          <w:rFonts w:ascii="Times New Roman" w:hAnsi="Times New Roman" w:cs="Times New Roman"/>
          <w:color w:val="000000" w:themeColor="text1"/>
          <w:sz w:val="24"/>
          <w:szCs w:val="24"/>
        </w:rPr>
        <w:t>.</w:t>
      </w:r>
    </w:p>
    <w:sectPr w:rsidR="00F41F95" w:rsidRPr="00B26C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C59"/>
    <w:rsid w:val="00B26C59"/>
    <w:rsid w:val="00F41F95"/>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F45BC"/>
  <w15:chartTrackingRefBased/>
  <w15:docId w15:val="{5D1ABF70-B2B0-4081-8E3A-4B85D7F3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P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26C59"/>
    <w:pPr>
      <w:spacing w:before="100" w:beforeAutospacing="1" w:after="100" w:afterAutospacing="1" w:line="240" w:lineRule="auto"/>
      <w:outlineLvl w:val="1"/>
    </w:pPr>
    <w:rPr>
      <w:rFonts w:ascii="Times New Roman" w:eastAsia="Times New Roman" w:hAnsi="Times New Roman" w:cs="Times New Roman"/>
      <w:b/>
      <w:bCs/>
      <w:sz w:val="36"/>
      <w:szCs w:val="36"/>
      <w:lang w:val="en-PK" w:eastAsia="en-P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26C59"/>
    <w:rPr>
      <w:rFonts w:ascii="Times New Roman" w:eastAsia="Times New Roman" w:hAnsi="Times New Roman" w:cs="Times New Roman"/>
      <w:b/>
      <w:bCs/>
      <w:sz w:val="36"/>
      <w:szCs w:val="36"/>
      <w:lang w:val="en-PK" w:eastAsia="en-PK"/>
    </w:rPr>
  </w:style>
  <w:style w:type="paragraph" w:customStyle="1" w:styleId="para">
    <w:name w:val="para"/>
    <w:basedOn w:val="Normal"/>
    <w:rsid w:val="00B26C59"/>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customStyle="1" w:styleId="marginterm">
    <w:name w:val="margin_term"/>
    <w:basedOn w:val="DefaultParagraphFont"/>
    <w:rsid w:val="00B26C59"/>
  </w:style>
  <w:style w:type="character" w:customStyle="1" w:styleId="mathphrase">
    <w:name w:val="mathphrase"/>
    <w:basedOn w:val="DefaultParagraphFont"/>
    <w:rsid w:val="00B26C59"/>
  </w:style>
  <w:style w:type="character" w:styleId="Emphasis">
    <w:name w:val="Emphasis"/>
    <w:basedOn w:val="DefaultParagraphFont"/>
    <w:uiPriority w:val="20"/>
    <w:qFormat/>
    <w:rsid w:val="00B26C59"/>
    <w:rPr>
      <w:i/>
      <w:iCs/>
    </w:rPr>
  </w:style>
  <w:style w:type="character" w:customStyle="1" w:styleId="footnote">
    <w:name w:val="footnote"/>
    <w:basedOn w:val="DefaultParagraphFont"/>
    <w:rsid w:val="00B26C59"/>
  </w:style>
  <w:style w:type="character" w:styleId="Hyperlink">
    <w:name w:val="Hyperlink"/>
    <w:basedOn w:val="DefaultParagraphFont"/>
    <w:uiPriority w:val="99"/>
    <w:semiHidden/>
    <w:unhideWhenUsed/>
    <w:rsid w:val="00B26C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24893">
      <w:bodyDiv w:val="1"/>
      <w:marLeft w:val="0"/>
      <w:marRight w:val="0"/>
      <w:marTop w:val="0"/>
      <w:marBottom w:val="0"/>
      <w:divBdr>
        <w:top w:val="none" w:sz="0" w:space="0" w:color="auto"/>
        <w:left w:val="none" w:sz="0" w:space="0" w:color="auto"/>
        <w:bottom w:val="none" w:sz="0" w:space="0" w:color="auto"/>
        <w:right w:val="none" w:sz="0" w:space="0" w:color="auto"/>
      </w:divBdr>
    </w:div>
    <w:div w:id="183249824">
      <w:bodyDiv w:val="1"/>
      <w:marLeft w:val="0"/>
      <w:marRight w:val="0"/>
      <w:marTop w:val="0"/>
      <w:marBottom w:val="0"/>
      <w:divBdr>
        <w:top w:val="none" w:sz="0" w:space="0" w:color="auto"/>
        <w:left w:val="none" w:sz="0" w:space="0" w:color="auto"/>
        <w:bottom w:val="none" w:sz="0" w:space="0" w:color="auto"/>
        <w:right w:val="none" w:sz="0" w:space="0" w:color="auto"/>
      </w:divBdr>
      <w:divsChild>
        <w:div w:id="859659798">
          <w:marLeft w:val="0"/>
          <w:marRight w:val="0"/>
          <w:marTop w:val="0"/>
          <w:marBottom w:val="0"/>
          <w:divBdr>
            <w:top w:val="none" w:sz="0" w:space="0" w:color="auto"/>
            <w:left w:val="none" w:sz="0" w:space="0" w:color="auto"/>
            <w:bottom w:val="none" w:sz="0" w:space="0" w:color="auto"/>
            <w:right w:val="none" w:sz="0" w:space="0" w:color="auto"/>
          </w:divBdr>
          <w:divsChild>
            <w:div w:id="545023803">
              <w:marLeft w:val="0"/>
              <w:marRight w:val="0"/>
              <w:marTop w:val="0"/>
              <w:marBottom w:val="0"/>
              <w:divBdr>
                <w:top w:val="none" w:sz="0" w:space="0" w:color="auto"/>
                <w:left w:val="none" w:sz="0" w:space="0" w:color="auto"/>
                <w:bottom w:val="none" w:sz="0" w:space="0" w:color="auto"/>
                <w:right w:val="none" w:sz="0" w:space="0" w:color="auto"/>
              </w:divBdr>
            </w:div>
            <w:div w:id="2044472838">
              <w:marLeft w:val="0"/>
              <w:marRight w:val="0"/>
              <w:marTop w:val="0"/>
              <w:marBottom w:val="0"/>
              <w:divBdr>
                <w:top w:val="none" w:sz="0" w:space="0" w:color="auto"/>
                <w:left w:val="none" w:sz="0" w:space="0" w:color="auto"/>
                <w:bottom w:val="none" w:sz="0" w:space="0" w:color="auto"/>
                <w:right w:val="none" w:sz="0" w:space="0" w:color="auto"/>
              </w:divBdr>
            </w:div>
          </w:divsChild>
        </w:div>
        <w:div w:id="61758788">
          <w:marLeft w:val="0"/>
          <w:marRight w:val="0"/>
          <w:marTop w:val="0"/>
          <w:marBottom w:val="0"/>
          <w:divBdr>
            <w:top w:val="none" w:sz="0" w:space="0" w:color="auto"/>
            <w:left w:val="none" w:sz="0" w:space="0" w:color="auto"/>
            <w:bottom w:val="none" w:sz="0" w:space="0" w:color="auto"/>
            <w:right w:val="none" w:sz="0" w:space="0" w:color="auto"/>
          </w:divBdr>
        </w:div>
      </w:divsChild>
    </w:div>
    <w:div w:id="2084794180">
      <w:bodyDiv w:val="1"/>
      <w:marLeft w:val="0"/>
      <w:marRight w:val="0"/>
      <w:marTop w:val="0"/>
      <w:marBottom w:val="0"/>
      <w:divBdr>
        <w:top w:val="none" w:sz="0" w:space="0" w:color="auto"/>
        <w:left w:val="none" w:sz="0" w:space="0" w:color="auto"/>
        <w:bottom w:val="none" w:sz="0" w:space="0" w:color="auto"/>
        <w:right w:val="none" w:sz="0" w:space="0" w:color="auto"/>
      </w:divBdr>
      <w:divsChild>
        <w:div w:id="860629336">
          <w:marLeft w:val="0"/>
          <w:marRight w:val="0"/>
          <w:marTop w:val="0"/>
          <w:marBottom w:val="0"/>
          <w:divBdr>
            <w:top w:val="none" w:sz="0" w:space="0" w:color="auto"/>
            <w:left w:val="none" w:sz="0" w:space="0" w:color="auto"/>
            <w:bottom w:val="none" w:sz="0" w:space="0" w:color="auto"/>
            <w:right w:val="none" w:sz="0" w:space="0" w:color="auto"/>
          </w:divBdr>
        </w:div>
        <w:div w:id="913466811">
          <w:marLeft w:val="0"/>
          <w:marRight w:val="0"/>
          <w:marTop w:val="0"/>
          <w:marBottom w:val="0"/>
          <w:divBdr>
            <w:top w:val="none" w:sz="0" w:space="0" w:color="auto"/>
            <w:left w:val="none" w:sz="0" w:space="0" w:color="auto"/>
            <w:bottom w:val="none" w:sz="0" w:space="0" w:color="auto"/>
            <w:right w:val="none" w:sz="0" w:space="0" w:color="auto"/>
          </w:divBdr>
        </w:div>
        <w:div w:id="14905170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aylordotorg.github.io/text_international-business/fwk-168388-ch07_s02" TargetMode="External"/><Relationship Id="rId5" Type="http://schemas.openxmlformats.org/officeDocument/2006/relationships/hyperlink" Target="https://saylordotorg.github.io/text_international-business/fwk-168388-ch07_s02" TargetMode="External"/><Relationship Id="rId4" Type="http://schemas.openxmlformats.org/officeDocument/2006/relationships/hyperlink" Target="http://www.econlib.org/library/Enc/GreatDepress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1900</Words>
  <Characters>10831</Characters>
  <Application>Microsoft Office Word</Application>
  <DocSecurity>0</DocSecurity>
  <Lines>90</Lines>
  <Paragraphs>25</Paragraphs>
  <ScaleCrop>false</ScaleCrop>
  <Company/>
  <LinksUpToDate>false</LinksUpToDate>
  <CharactersWithSpaces>12706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dcterms:created xsi:type="dcterms:W3CDTF">2020-04-02T12:55:00Z</dcterms:created>
  <dcterms:modified xsi:type="dcterms:W3CDTF">2020-04-02T12:58:00Z</dcterms:modified>
</cp:coreProperties>
</file>